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rFonts w:ascii="华文中宋" w:hAnsi="华文中宋" w:eastAsia="华文中宋" w:cs="华文中宋"/>
          <w:b/>
          <w:bCs/>
          <w:kern w:val="0"/>
          <w:sz w:val="52"/>
          <w:szCs w:val="52"/>
          <w:lang w:val="zh-TW" w:eastAsia="zh-TW"/>
        </w:rPr>
      </w:pPr>
      <w:r>
        <w:rPr>
          <w:rFonts w:ascii="华文中宋" w:hAnsi="华文中宋" w:eastAsia="华文中宋" w:cs="华文中宋"/>
          <w:b/>
          <w:bCs/>
          <w:kern w:val="0"/>
          <w:sz w:val="52"/>
          <w:szCs w:val="52"/>
          <w:lang w:val="zh-TW" w:eastAsia="zh-TW"/>
        </w:rPr>
        <w:t>新疆财政支出绩效自评报告</w:t>
      </w:r>
    </w:p>
    <w:p>
      <w:pPr>
        <w:pStyle w:val="48"/>
        <w:spacing w:line="540" w:lineRule="exact"/>
        <w:jc w:val="center"/>
        <w:rPr>
          <w:rFonts w:ascii="华文中宋" w:hAnsi="华文中宋" w:eastAsia="华文中宋" w:cs="华文中宋"/>
          <w:b/>
          <w:bCs/>
          <w:kern w:val="0"/>
          <w:sz w:val="52"/>
          <w:szCs w:val="52"/>
        </w:rPr>
      </w:pPr>
    </w:p>
    <w:p>
      <w:pPr>
        <w:pStyle w:val="48"/>
        <w:spacing w:line="540" w:lineRule="exact"/>
        <w:jc w:val="center"/>
        <w:rPr>
          <w:kern w:val="0"/>
          <w:sz w:val="36"/>
          <w:szCs w:val="36"/>
          <w:lang w:val="zh-TW" w:eastAsia="zh-TW"/>
        </w:rPr>
      </w:pPr>
      <w:r>
        <w:rPr>
          <w:rFonts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lang w:val="en-US" w:eastAsia="zh-CN"/>
        </w:rPr>
        <w:t>8</w:t>
      </w:r>
      <w:r>
        <w:rPr>
          <w:rFonts w:ascii="仿宋_GB2312" w:hAnsi="仿宋_GB2312" w:eastAsia="仿宋_GB2312" w:cs="仿宋_GB2312"/>
          <w:kern w:val="0"/>
          <w:sz w:val="36"/>
          <w:szCs w:val="36"/>
          <w:lang w:val="zh-TW" w:eastAsia="zh-TW"/>
        </w:rPr>
        <w:t>年度）</w:t>
      </w: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jc w:val="center"/>
        <w:rPr>
          <w:kern w:val="0"/>
          <w:sz w:val="30"/>
          <w:szCs w:val="30"/>
        </w:rPr>
      </w:pPr>
    </w:p>
    <w:p>
      <w:pPr>
        <w:pStyle w:val="48"/>
        <w:spacing w:line="540" w:lineRule="exact"/>
        <w:rPr>
          <w:kern w:val="0"/>
          <w:sz w:val="30"/>
          <w:szCs w:val="30"/>
        </w:rPr>
      </w:pPr>
    </w:p>
    <w:p>
      <w:pPr>
        <w:pStyle w:val="48"/>
        <w:spacing w:line="540" w:lineRule="exact"/>
        <w:rPr>
          <w:kern w:val="0"/>
          <w:sz w:val="30"/>
          <w:szCs w:val="30"/>
        </w:rPr>
      </w:pPr>
    </w:p>
    <w:p>
      <w:pPr>
        <w:pStyle w:val="48"/>
        <w:spacing w:line="700" w:lineRule="exact"/>
        <w:ind w:right="-92" w:rightChars="-44" w:firstLine="720" w:firstLineChars="200"/>
        <w:jc w:val="both"/>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亚博会项目</w:t>
      </w:r>
    </w:p>
    <w:p>
      <w:pPr>
        <w:pStyle w:val="48"/>
        <w:spacing w:line="700" w:lineRule="exact"/>
        <w:ind w:right="-92" w:rightChars="-44" w:firstLine="720" w:firstLineChars="200"/>
        <w:jc w:val="both"/>
        <w:rPr>
          <w:kern w:val="0"/>
          <w:sz w:val="36"/>
          <w:szCs w:val="36"/>
          <w:lang w:val="zh-TW" w:eastAsia="zh-TW"/>
        </w:rPr>
      </w:pPr>
      <w:r>
        <w:rPr>
          <w:rFonts w:ascii="仿宋_GB2312" w:hAnsi="仿宋_GB2312" w:eastAsia="仿宋_GB2312" w:cs="仿宋_GB2312"/>
          <w:kern w:val="0"/>
          <w:sz w:val="36"/>
          <w:szCs w:val="36"/>
          <w:lang w:val="zh-TW" w:eastAsia="zh-TW"/>
        </w:rPr>
        <w:t>实施单位（公章）：</w:t>
      </w:r>
      <w:r>
        <w:rPr>
          <w:rFonts w:hint="eastAsia" w:hAnsi="宋体" w:eastAsia="仿宋_GB2312" w:cs="宋体"/>
          <w:kern w:val="0"/>
          <w:sz w:val="36"/>
          <w:szCs w:val="36"/>
        </w:rPr>
        <w:t>塔什库尔干县</w:t>
      </w:r>
      <w:r>
        <w:rPr>
          <w:rFonts w:hint="eastAsia" w:hAnsi="宋体" w:eastAsia="仿宋_GB2312" w:cs="宋体"/>
          <w:kern w:val="0"/>
          <w:sz w:val="36"/>
          <w:szCs w:val="36"/>
          <w:lang w:eastAsia="zh-CN"/>
        </w:rPr>
        <w:t>招商局</w:t>
      </w:r>
    </w:p>
    <w:p>
      <w:pPr>
        <w:pStyle w:val="48"/>
        <w:spacing w:line="700" w:lineRule="exact"/>
        <w:ind w:right="-92" w:rightChars="-44" w:firstLine="720" w:firstLineChars="200"/>
        <w:jc w:val="both"/>
        <w:rPr>
          <w:kern w:val="0"/>
          <w:sz w:val="36"/>
          <w:szCs w:val="36"/>
          <w:lang w:val="zh-TW" w:eastAsia="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eastAsia="zh-CN"/>
        </w:rPr>
        <w:t>塔什库尔干县人民政府</w:t>
      </w:r>
    </w:p>
    <w:p>
      <w:pPr>
        <w:pStyle w:val="48"/>
        <w:spacing w:line="700" w:lineRule="exact"/>
        <w:ind w:right="-92" w:rightChars="-44" w:firstLine="720" w:firstLineChars="200"/>
        <w:jc w:val="both"/>
        <w:rPr>
          <w:kern w:val="0"/>
          <w:sz w:val="36"/>
          <w:szCs w:val="36"/>
          <w:lang w:val="zh-TW" w:eastAsia="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eastAsia="zh-CN"/>
        </w:rPr>
        <w:t>周绍明</w:t>
      </w:r>
    </w:p>
    <w:p>
      <w:pPr>
        <w:pStyle w:val="48"/>
        <w:spacing w:line="700" w:lineRule="exact"/>
        <w:ind w:right="-92" w:rightChars="-44" w:firstLine="720" w:firstLineChars="200"/>
        <w:jc w:val="both"/>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lang w:val="zh-TW"/>
        </w:rPr>
        <w:t>8</w:t>
      </w:r>
      <w:r>
        <w:rPr>
          <w:rFonts w:ascii="仿宋_GB2312" w:hAnsi="仿宋_GB2312" w:eastAsia="仿宋_GB2312" w:cs="仿宋_GB2312"/>
          <w:kern w:val="0"/>
          <w:sz w:val="36"/>
          <w:szCs w:val="36"/>
          <w:lang w:val="zh-TW" w:eastAsia="zh-TW"/>
        </w:rPr>
        <w:t>年</w:t>
      </w:r>
      <w:r>
        <w:rPr>
          <w:rFonts w:hint="eastAsia" w:ascii="仿宋_GB2312" w:hAnsi="仿宋_GB2312" w:eastAsia="仿宋_GB2312" w:cs="仿宋_GB2312"/>
          <w:kern w:val="0"/>
          <w:sz w:val="36"/>
          <w:szCs w:val="36"/>
          <w:lang w:val="en-US" w:eastAsia="zh-CN"/>
        </w:rPr>
        <w:t>12</w:t>
      </w:r>
      <w:r>
        <w:rPr>
          <w:rFonts w:ascii="仿宋_GB2312" w:hAnsi="仿宋_GB2312" w:eastAsia="仿宋_GB2312" w:cs="仿宋_GB2312"/>
          <w:kern w:val="0"/>
          <w:sz w:val="36"/>
          <w:szCs w:val="36"/>
          <w:lang w:val="zh-TW" w:eastAsia="zh-TW"/>
        </w:rPr>
        <w:t>月</w:t>
      </w:r>
      <w:r>
        <w:rPr>
          <w:rFonts w:hint="eastAsia" w:ascii="仿宋_GB2312" w:hAnsi="仿宋_GB2312" w:eastAsia="仿宋_GB2312" w:cs="仿宋_GB2312"/>
          <w:kern w:val="0"/>
          <w:sz w:val="36"/>
          <w:szCs w:val="36"/>
          <w:lang w:val="en-US" w:eastAsia="zh-CN"/>
        </w:rPr>
        <w:t>20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pStyle w:val="13"/>
        <w:keepNext w:val="0"/>
        <w:keepLines w:val="0"/>
        <w:pageBreakBefore w:val="0"/>
        <w:widowControl w:val="0"/>
        <w:tabs>
          <w:tab w:val="right" w:pos="8400"/>
          <w:tab w:val="clear" w:pos="8306"/>
        </w:tabs>
        <w:kinsoku/>
        <w:wordWrap/>
        <w:overflowPunct/>
        <w:topLinePunct w:val="0"/>
        <w:autoSpaceDE/>
        <w:autoSpaceDN/>
        <w:bidi w:val="0"/>
        <w:adjustRightInd/>
        <w:snapToGrid w:val="0"/>
        <w:spacing w:line="560" w:lineRule="exact"/>
        <w:ind w:left="0" w:leftChars="0" w:right="-92" w:rightChars="-44"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塔什库尔干县招商局负责招商引资工作及国内外展会参会参展，负责外经贸工作，与塔县外事办公室合署办公。招商局参照管理事业编制5人，其中领导职数2名；参公事业编制数3名，实有人员参照4人（正科1人，科员3人）。</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92" w:rightChars="-44" w:firstLine="640" w:firstLineChars="200"/>
        <w:jc w:val="both"/>
        <w:textAlignment w:val="baseline"/>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亚欧博览会上，我县自治区集中签约项目2个，签约资金达5000万元，在项目选择上突出塔什库尔干县的地缘、资源优势。按地区要求认购展位，按时缴纳展位费、特装费，如期邀请2家企业参会参展，会上集中签约项目2个，签约资金5000万元，项目均已履约，圆满完成参会参展任务和对外宣传推介任务，并获得地区最佳组织奖。</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92" w:rightChars="-44" w:firstLine="640" w:firstLineChars="200"/>
        <w:jc w:val="both"/>
        <w:rPr>
          <w:rStyle w:val="19"/>
          <w:rFonts w:ascii="楷体" w:hAnsi="楷体" w:eastAsia="楷体"/>
          <w:spacing w:val="-4"/>
          <w:sz w:val="32"/>
          <w:szCs w:val="32"/>
        </w:rPr>
      </w:pPr>
      <w:r>
        <w:rPr>
          <w:rFonts w:hint="eastAsia" w:ascii="仿宋_GB2312" w:hAnsi="仿宋_GB2312" w:eastAsia="仿宋_GB2312" w:cs="仿宋_GB2312"/>
          <w:kern w:val="2"/>
          <w:sz w:val="32"/>
          <w:szCs w:val="32"/>
          <w:lang w:val="en-US" w:eastAsia="zh-CN" w:bidi="ar-SA"/>
        </w:rPr>
        <w:t>亚博会大力宣传推介塔什库尔干县旅游资源、生物科技、边境贸易、文化旅游、跨境电商等招商项目和出口商贸洽谈、边民互市建设；加强旅游宣传，发展壮大塔什库尔干旅游业，促进县域经济优势互补、合作共赢，解决富余劳动力就业，不断改善和提高农牧民生活水平，为塔县经济发展贡献力量。</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40" w:firstLineChars="2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本项目性质为招商引资专项资金，县财政资金，项目为经常性延续项目。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right="-92" w:rightChars="-44" w:firstLine="640" w:firstLineChars="200"/>
        <w:jc w:val="both"/>
        <w:rPr>
          <w:rFonts w:ascii="仿宋" w:hAnsi="仿宋" w:eastAsia="仿宋"/>
          <w:bCs/>
          <w:color w:val="FF0000"/>
          <w:spacing w:val="-4"/>
          <w:sz w:val="32"/>
          <w:szCs w:val="32"/>
        </w:rPr>
      </w:pPr>
      <w:r>
        <w:rPr>
          <w:rFonts w:hint="eastAsia" w:ascii="仿宋_GB2312" w:hAnsi="仿宋_GB2312" w:eastAsia="仿宋_GB2312" w:cs="仿宋_GB2312"/>
          <w:sz w:val="32"/>
          <w:szCs w:val="32"/>
          <w:lang w:val="en-US" w:eastAsia="zh-CN"/>
        </w:rPr>
        <w:t>2018年8月26日-9月1日塔什库尔干县代表团参加亚欧博览会，</w:t>
      </w:r>
      <w:r>
        <w:rPr>
          <w:rFonts w:hint="eastAsia" w:ascii="仿宋_GB2312" w:hAnsi="仿宋_GB2312" w:eastAsia="仿宋_GB2312" w:cs="仿宋_GB2312"/>
          <w:kern w:val="2"/>
          <w:sz w:val="32"/>
          <w:szCs w:val="32"/>
          <w:lang w:val="en-US" w:eastAsia="zh-CN" w:bidi="ar-SA"/>
        </w:rPr>
        <w:t>招商引资项目资金亚博会项目主要用于亚博会的参会参展人员差旅费，展位租赁和特装、办证等费用。</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adjustRightInd w:val="0"/>
        <w:snapToGrid w:val="0"/>
        <w:spacing w:line="560" w:lineRule="exact"/>
        <w:ind w:right="-92" w:rightChars="-44" w:firstLine="640" w:firstLineChars="200"/>
        <w:jc w:val="both"/>
        <w:rPr>
          <w:rFonts w:ascii="仿宋" w:hAnsi="仿宋" w:eastAsia="仿宋"/>
          <w:bCs/>
          <w:color w:val="FF0000"/>
          <w:spacing w:val="-4"/>
          <w:sz w:val="32"/>
          <w:szCs w:val="32"/>
        </w:rPr>
      </w:pPr>
      <w:r>
        <w:rPr>
          <w:rFonts w:hint="eastAsia" w:ascii="仿宋_GB2312" w:hAnsi="仿宋_GB2312" w:eastAsia="仿宋_GB2312" w:cs="仿宋_GB2312"/>
          <w:sz w:val="32"/>
          <w:szCs w:val="32"/>
          <w:lang w:val="en-US" w:eastAsia="zh-CN"/>
        </w:rPr>
        <w:t>招商引资专项资金亚博会项目预算安排总额为5.8098万元，其中县财政资金5.8098万元，自筹资金0万元，2018年实际收到预算资金5.8098万元,</w:t>
      </w:r>
      <w:r>
        <w:rPr>
          <w:rFonts w:hint="eastAsia" w:ascii="仿宋_GB2312" w:eastAsia="仿宋_GB2312"/>
          <w:sz w:val="32"/>
          <w:szCs w:val="32"/>
          <w:lang w:val="en-US" w:eastAsia="zh-CN"/>
        </w:rPr>
        <w:t>已按时足额执行到位</w:t>
      </w:r>
      <w:r>
        <w:rPr>
          <w:rFonts w:hint="eastAsia" w:ascii="仿宋_GB2312" w:hAnsi="仿宋_GB2312" w:eastAsia="仿宋_GB2312" w:cs="仿宋_GB2312"/>
          <w:sz w:val="32"/>
          <w:szCs w:val="32"/>
          <w:lang w:val="en-US" w:eastAsia="zh-CN"/>
        </w:rPr>
        <w:t>。</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adjustRightInd w:val="0"/>
        <w:snapToGrid w:val="0"/>
        <w:spacing w:line="560" w:lineRule="exact"/>
        <w:ind w:right="-92" w:rightChars="-44" w:firstLine="640" w:firstLineChars="200"/>
        <w:jc w:val="both"/>
        <w:rPr>
          <w:rFonts w:ascii="仿宋" w:hAnsi="仿宋" w:eastAsia="仿宋"/>
          <w:bCs/>
          <w:spacing w:val="-4"/>
          <w:sz w:val="32"/>
          <w:szCs w:val="32"/>
        </w:rPr>
      </w:pPr>
      <w:r>
        <w:rPr>
          <w:rFonts w:hint="eastAsia" w:ascii="仿宋_GB2312" w:hAnsi="仿宋_GB2312" w:eastAsia="仿宋_GB2312" w:cs="仿宋_GB2312"/>
          <w:sz w:val="32"/>
          <w:szCs w:val="32"/>
          <w:lang w:val="en-US" w:eastAsia="zh-CN"/>
        </w:rPr>
        <w:t>本项目实际支付资金5.8098万元，预算执行率100%。项目资金主要用于展位租赁费3.737万元，差旅费2.0728万元。</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adjustRightInd w:val="0"/>
        <w:snapToGrid w:val="0"/>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支出符合县财政资金管理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spacing w:line="520" w:lineRule="exac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该项目招商引资专项资金项目,由县财政拨款审核批复，我单位自行组织实施，实施过程均按照县财政制定的管理制度执行，本项目不存在调整情况，本项目不存在检查验收程序。</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spacing w:line="520" w:lineRule="exact"/>
        <w:ind w:firstLine="640" w:firstLineChars="200"/>
        <w:jc w:val="both"/>
        <w:rPr>
          <w:rStyle w:val="19"/>
          <w:rFonts w:ascii="仿宋" w:hAnsi="仿宋" w:eastAsia="仿宋"/>
          <w:b w:val="0"/>
          <w:color w:val="FF0000"/>
          <w:spacing w:val="-4"/>
          <w:sz w:val="32"/>
          <w:szCs w:val="32"/>
        </w:rPr>
      </w:pPr>
      <w:r>
        <w:rPr>
          <w:rFonts w:hint="eastAsia" w:ascii="仿宋_GB2312" w:hAnsi="仿宋_GB2312" w:eastAsia="仿宋_GB2312" w:cs="仿宋_GB2312"/>
          <w:sz w:val="32"/>
          <w:szCs w:val="32"/>
          <w:lang w:val="en-US" w:eastAsia="zh-CN"/>
        </w:rPr>
        <w:t>项目实施过程中，招商引资专项资金管理建立了专项资金管理使用办法保障项目的顺利实施。项目的实施遵守相关法律法规和业务管理规定，项目资料齐全并及时归档。已建立《招商引资专项资金日常检查监督检查机制》，不定期对项目进度情况进行督导检查，对检查过程中发现的问题及时督促整改，确保了项目按时保质完成。</w:t>
      </w:r>
    </w:p>
    <w:p>
      <w:pPr>
        <w:adjustRightInd w:val="0"/>
        <w:snapToGrid w:val="0"/>
        <w:spacing w:line="560" w:lineRule="exact"/>
        <w:ind w:firstLine="624" w:firstLineChars="200"/>
        <w:outlineLvl w:val="0"/>
        <w:rPr>
          <w:rStyle w:val="19"/>
          <w:rFonts w:ascii="黑体" w:hAnsi="黑体" w:eastAsia="黑体"/>
        </w:rPr>
      </w:pPr>
      <w:r>
        <w:rPr>
          <w:rStyle w:val="19"/>
          <w:rFonts w:hint="eastAsia" w:ascii="黑体" w:hAnsi="黑体" w:eastAsia="黑体"/>
          <w:b w:val="0"/>
          <w:spacing w:val="-4"/>
          <w:sz w:val="32"/>
          <w:szCs w:val="32"/>
        </w:rPr>
        <w:t>四、项目绩效情况</w:t>
      </w:r>
    </w:p>
    <w:p>
      <w:pPr>
        <w:adjustRightInd w:val="0"/>
        <w:snapToGrid w:val="0"/>
        <w:spacing w:line="56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spacing w:line="520" w:lineRule="exac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本项目共设置一级指标3个，二级指标9个，三级指标16个，其中已完成三级指标16个，指标完成率为100%。</w:t>
      </w:r>
    </w:p>
    <w:p>
      <w:pPr>
        <w:spacing w:line="520" w:lineRule="exac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经济性：党政参会人数4人，参会企业数2家，签约个数2个，签约项目数2个，签约项目合同数2个，履约合同数2个。</w:t>
      </w:r>
    </w:p>
    <w:p>
      <w:pPr>
        <w:spacing w:line="520" w:lineRule="exac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效率性：党政代表团按照地区要求按时参加会议，项目实际支出&lt;预算数。</w:t>
      </w:r>
    </w:p>
    <w:p>
      <w:pPr>
        <w:spacing w:line="520" w:lineRule="exact"/>
        <w:ind w:firstLine="640" w:firstLineChars="200"/>
        <w:jc w:val="both"/>
        <w:rPr>
          <w:rFonts w:ascii="仿宋" w:hAnsi="仿宋" w:eastAsia="仿宋"/>
          <w:bCs/>
          <w:color w:val="FF0000"/>
          <w:spacing w:val="-4"/>
          <w:sz w:val="32"/>
          <w:szCs w:val="32"/>
        </w:rPr>
      </w:pPr>
      <w:r>
        <w:rPr>
          <w:rFonts w:hint="eastAsia" w:ascii="仿宋_GB2312" w:hAnsi="仿宋_GB2312" w:eastAsia="仿宋_GB2312" w:cs="仿宋_GB2312"/>
          <w:sz w:val="32"/>
          <w:szCs w:val="32"/>
          <w:lang w:val="en-US" w:eastAsia="zh-CN"/>
        </w:rPr>
        <w:t>效益性：解决富余劳动力就业20人，对塔县经济的贡献率：签约合同项目到位资金&gt;50%，扩大塔县认知度，提高塔县影响力，签约项目符合环保要求。</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20" w:lineRule="exac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不存在未完成情况:2018年本项目绩效目标全部达成，不存在未完成原因分析。</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right="-92" w:rightChars="-44" w:firstLine="640" w:firstLineChars="200"/>
        <w:jc w:val="both"/>
        <w:rPr>
          <w:rFonts w:ascii="仿宋" w:hAnsi="仿宋" w:eastAsia="仿宋"/>
          <w:bCs/>
          <w:color w:val="FF0000"/>
          <w:spacing w:val="-4"/>
          <w:sz w:val="32"/>
          <w:szCs w:val="32"/>
        </w:rPr>
      </w:pPr>
      <w:r>
        <w:rPr>
          <w:rFonts w:hint="eastAsia" w:ascii="仿宋_GB2312" w:hAnsi="仿宋_GB2312" w:eastAsia="仿宋_GB2312" w:cs="仿宋_GB2312"/>
          <w:sz w:val="32"/>
          <w:szCs w:val="32"/>
          <w:lang w:val="en-US" w:eastAsia="zh-CN"/>
        </w:rPr>
        <w:t>加强亚博会签约项目的履约率，提供全方位、多领域、保姆式服务，换取项目早日建成投产。</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numPr>
          <w:ilvl w:val="0"/>
          <w:numId w:val="0"/>
        </w:numPr>
        <w:adjustRightInd w:val="0"/>
        <w:snapToGrid w:val="0"/>
        <w:spacing w:line="560" w:lineRule="exact"/>
        <w:ind w:right="-92" w:rightChars="-44"/>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年初提前做好展会的宣传推介工作，制定招商引资项目，提前联系对接洽谈项目。</w:t>
      </w:r>
    </w:p>
    <w:p>
      <w:pPr>
        <w:numPr>
          <w:ilvl w:val="0"/>
          <w:numId w:val="1"/>
        </w:numPr>
        <w:adjustRightInd w:val="0"/>
        <w:snapToGrid w:val="0"/>
        <w:spacing w:line="560" w:lineRule="exact"/>
        <w:ind w:left="0" w:leftChars="0" w:right="-92" w:rightChars="-44" w:firstLine="624" w:firstLineChars="200"/>
        <w:jc w:val="both"/>
        <w:rPr>
          <w:rFonts w:hint="eastAsia" w:ascii="仿宋" w:hAnsi="仿宋" w:eastAsia="仿宋"/>
          <w:bCs/>
          <w:spacing w:val="-4"/>
          <w:sz w:val="32"/>
          <w:szCs w:val="32"/>
        </w:rPr>
      </w:pPr>
      <w:r>
        <w:rPr>
          <w:rFonts w:hint="eastAsia" w:ascii="仿宋" w:hAnsi="仿宋" w:eastAsia="仿宋"/>
          <w:bCs/>
          <w:spacing w:val="-4"/>
          <w:sz w:val="32"/>
          <w:szCs w:val="32"/>
        </w:rPr>
        <w:t>存在的问题</w:t>
      </w:r>
    </w:p>
    <w:p>
      <w:pPr>
        <w:numPr>
          <w:ilvl w:val="0"/>
          <w:numId w:val="0"/>
        </w:numPr>
        <w:adjustRightInd w:val="0"/>
        <w:snapToGrid w:val="0"/>
        <w:spacing w:line="560" w:lineRule="exact"/>
        <w:ind w:leftChars="200" w:right="-92" w:rightChars="-44"/>
        <w:jc w:val="both"/>
        <w:rPr>
          <w:rFonts w:hint="eastAsia" w:ascii="仿宋" w:hAnsi="仿宋" w:eastAsia="仿宋"/>
          <w:bCs/>
          <w:spacing w:val="-4"/>
          <w:sz w:val="32"/>
          <w:szCs w:val="32"/>
          <w:lang w:val="en-US" w:eastAsia="zh-CN"/>
        </w:rPr>
      </w:pPr>
      <w:r>
        <w:rPr>
          <w:rFonts w:hint="eastAsia" w:ascii="仿宋" w:hAnsi="仿宋" w:eastAsia="仿宋"/>
          <w:bCs/>
          <w:spacing w:val="-4"/>
          <w:sz w:val="32"/>
          <w:szCs w:val="32"/>
          <w:lang w:val="en-US" w:eastAsia="zh-CN"/>
        </w:rPr>
        <w:t xml:space="preserve"> </w:t>
      </w:r>
      <w:r>
        <w:rPr>
          <w:rFonts w:hint="eastAsia" w:ascii="仿宋_GB2312" w:hAnsi="仿宋_GB2312" w:eastAsia="仿宋_GB2312" w:cs="仿宋_GB2312"/>
          <w:sz w:val="32"/>
          <w:szCs w:val="32"/>
          <w:lang w:val="en-US" w:eastAsia="zh-CN"/>
        </w:rPr>
        <w:t>展会签约项目履约率不高，资金到位率不高。</w:t>
      </w:r>
    </w:p>
    <w:p>
      <w:pPr>
        <w:numPr>
          <w:ilvl w:val="0"/>
          <w:numId w:val="1"/>
        </w:numPr>
        <w:adjustRightInd w:val="0"/>
        <w:snapToGrid w:val="0"/>
        <w:spacing w:line="560" w:lineRule="exact"/>
        <w:ind w:left="0" w:leftChars="0" w:right="-92" w:rightChars="-44" w:firstLine="624" w:firstLineChars="200"/>
        <w:jc w:val="both"/>
        <w:rPr>
          <w:rFonts w:hint="eastAsia" w:ascii="仿宋" w:hAnsi="仿宋" w:eastAsia="仿宋"/>
          <w:bCs/>
          <w:spacing w:val="-4"/>
          <w:sz w:val="32"/>
          <w:szCs w:val="32"/>
        </w:rPr>
      </w:pPr>
      <w:r>
        <w:rPr>
          <w:rFonts w:hint="eastAsia" w:ascii="仿宋" w:hAnsi="仿宋" w:eastAsia="仿宋"/>
          <w:bCs/>
          <w:spacing w:val="-4"/>
          <w:sz w:val="32"/>
          <w:szCs w:val="32"/>
        </w:rPr>
        <w:t>建议</w:t>
      </w:r>
    </w:p>
    <w:p>
      <w:pPr>
        <w:numPr>
          <w:ilvl w:val="0"/>
          <w:numId w:val="0"/>
        </w:numPr>
        <w:adjustRightInd w:val="0"/>
        <w:snapToGrid w:val="0"/>
        <w:spacing w:line="560" w:lineRule="exact"/>
        <w:ind w:left="0" w:leftChars="0" w:right="-92" w:rightChars="-44" w:firstLine="652" w:firstLineChars="209"/>
        <w:jc w:val="both"/>
        <w:rPr>
          <w:rFonts w:ascii="仿宋" w:hAnsi="仿宋" w:eastAsia="仿宋"/>
          <w:bCs/>
          <w:color w:val="FF0000"/>
          <w:spacing w:val="-4"/>
          <w:sz w:val="32"/>
          <w:szCs w:val="32"/>
        </w:rPr>
      </w:pPr>
      <w:r>
        <w:rPr>
          <w:rFonts w:hint="eastAsia" w:ascii="仿宋" w:hAnsi="仿宋" w:eastAsia="仿宋"/>
          <w:bCs/>
          <w:spacing w:val="-4"/>
          <w:sz w:val="32"/>
          <w:szCs w:val="32"/>
          <w:lang w:val="en-US" w:eastAsia="zh-CN"/>
        </w:rPr>
        <w:t xml:space="preserve"> </w:t>
      </w:r>
      <w:r>
        <w:rPr>
          <w:rFonts w:hint="eastAsia" w:ascii="仿宋_GB2312" w:hAnsi="仿宋_GB2312" w:eastAsia="仿宋_GB2312" w:cs="仿宋_GB2312"/>
          <w:sz w:val="32"/>
          <w:szCs w:val="32"/>
          <w:lang w:val="en-US" w:eastAsia="zh-CN"/>
        </w:rPr>
        <w:t>加大对招商引资企业的服务跟踪力度，提高项目履约率和资金到位率。</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1、主要经验及做法</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2、存在的问题</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3、建议</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right="-92" w:rightChars="-44" w:firstLine="640" w:firstLineChars="200"/>
        <w:jc w:val="both"/>
        <w:rPr>
          <w:rFonts w:ascii="仿宋" w:hAnsi="仿宋" w:eastAsia="仿宋"/>
          <w:color w:val="FF0000"/>
          <w:spacing w:val="-4"/>
          <w:sz w:val="32"/>
          <w:szCs w:val="32"/>
        </w:rPr>
      </w:pPr>
      <w:r>
        <w:rPr>
          <w:rFonts w:hint="eastAsia" w:ascii="仿宋_GB2312" w:hAnsi="仿宋_GB2312" w:eastAsia="仿宋_GB2312" w:cs="仿宋_GB2312"/>
          <w:sz w:val="32"/>
          <w:szCs w:val="32"/>
          <w:lang w:val="en-US" w:eastAsia="zh-CN"/>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次评价通过文件研读、实地调研、数据分析等方式，全面了解招商引资项目资金的使用效率和效果，项目管理过程规范，完成了预期绩效目标。同时，通过开展自我评价来总结经验和教训，为喀什地区招商引资专项资金项目今后的开展提供参考建议。</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p>
      <w:pPr>
        <w:adjustRightInd w:val="0"/>
        <w:snapToGrid w:val="0"/>
        <w:spacing w:line="560" w:lineRule="exact"/>
        <w:rPr>
          <w:rStyle w:val="19"/>
          <w:rFonts w:hint="eastAsia" w:ascii="仿宋" w:hAnsi="仿宋" w:eastAsia="仿宋"/>
          <w:color w:val="FF0000"/>
          <w:spacing w:val="-4"/>
          <w:sz w:val="32"/>
          <w:szCs w:val="32"/>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5AC2A1"/>
    <w:multiLevelType w:val="singleLevel"/>
    <w:tmpl w:val="C05AC2A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2A2D76"/>
    <w:rsid w:val="00365250"/>
    <w:rsid w:val="0036624C"/>
    <w:rsid w:val="00385849"/>
    <w:rsid w:val="003F1A98"/>
    <w:rsid w:val="0050167F"/>
    <w:rsid w:val="00514506"/>
    <w:rsid w:val="005162F1"/>
    <w:rsid w:val="00516E80"/>
    <w:rsid w:val="00535153"/>
    <w:rsid w:val="00575CFE"/>
    <w:rsid w:val="00583AFC"/>
    <w:rsid w:val="00592D09"/>
    <w:rsid w:val="00675D58"/>
    <w:rsid w:val="006F2E6D"/>
    <w:rsid w:val="007218B8"/>
    <w:rsid w:val="00755C6A"/>
    <w:rsid w:val="00785FDE"/>
    <w:rsid w:val="007A0351"/>
    <w:rsid w:val="007A14BC"/>
    <w:rsid w:val="007C1025"/>
    <w:rsid w:val="007E6845"/>
    <w:rsid w:val="007F5F8A"/>
    <w:rsid w:val="00826CA1"/>
    <w:rsid w:val="00835B7F"/>
    <w:rsid w:val="00855E3A"/>
    <w:rsid w:val="00882985"/>
    <w:rsid w:val="00922CB9"/>
    <w:rsid w:val="009350F7"/>
    <w:rsid w:val="009B526F"/>
    <w:rsid w:val="009C1AFD"/>
    <w:rsid w:val="009D4BFB"/>
    <w:rsid w:val="00A26421"/>
    <w:rsid w:val="00A4293B"/>
    <w:rsid w:val="00A83BD5"/>
    <w:rsid w:val="00A977DF"/>
    <w:rsid w:val="00AE6A23"/>
    <w:rsid w:val="00B06CA5"/>
    <w:rsid w:val="00B13FCF"/>
    <w:rsid w:val="00B41F61"/>
    <w:rsid w:val="00B55332"/>
    <w:rsid w:val="00B86E8C"/>
    <w:rsid w:val="00BE1A00"/>
    <w:rsid w:val="00C22CF0"/>
    <w:rsid w:val="00C56C72"/>
    <w:rsid w:val="00CA6457"/>
    <w:rsid w:val="00CC4442"/>
    <w:rsid w:val="00CC6E4D"/>
    <w:rsid w:val="00D17F2E"/>
    <w:rsid w:val="00D46194"/>
    <w:rsid w:val="00E01293"/>
    <w:rsid w:val="00E027D1"/>
    <w:rsid w:val="00E769FE"/>
    <w:rsid w:val="00EA2CBE"/>
    <w:rsid w:val="00EF3FFA"/>
    <w:rsid w:val="00F32FEE"/>
    <w:rsid w:val="00F53E69"/>
    <w:rsid w:val="093817E4"/>
    <w:rsid w:val="0AB56CE2"/>
    <w:rsid w:val="0EB107EC"/>
    <w:rsid w:val="21454B50"/>
    <w:rsid w:val="26BD6313"/>
    <w:rsid w:val="275833BE"/>
    <w:rsid w:val="397F4FE8"/>
    <w:rsid w:val="4EFD6A38"/>
    <w:rsid w:val="5A7F02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unhideWhenUsed/>
    <w:qFormat/>
    <w:uiPriority w:val="1"/>
  </w:style>
  <w:style w:type="table" w:default="1" w:styleId="17">
    <w:name w:val="Normal Table"/>
    <w:unhideWhenUsed/>
    <w:qFormat/>
    <w:uiPriority w:val="99"/>
    <w:tblPr>
      <w:tblLayout w:type="fixed"/>
      <w:tblCellMar>
        <w:top w:w="0" w:type="dxa"/>
        <w:left w:w="108" w:type="dxa"/>
        <w:bottom w:w="0" w:type="dxa"/>
        <w:right w:w="108" w:type="dxa"/>
      </w:tblCellMar>
    </w:tblPr>
  </w:style>
  <w:style w:type="paragraph" w:styleId="11">
    <w:name w:val="Document Map"/>
    <w:basedOn w:val="1"/>
    <w:link w:val="46"/>
    <w:unhideWhenUsed/>
    <w:qFormat/>
    <w:uiPriority w:val="99"/>
    <w:rPr>
      <w:rFonts w:ascii="宋体"/>
      <w:sz w:val="18"/>
      <w:szCs w:val="18"/>
    </w:rPr>
  </w:style>
  <w:style w:type="paragraph" w:styleId="12">
    <w:name w:val="Balloon Text"/>
    <w:basedOn w:val="1"/>
    <w:link w:val="47"/>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Char"/>
    <w:basedOn w:val="18"/>
    <w:link w:val="2"/>
    <w:qFormat/>
    <w:uiPriority w:val="9"/>
    <w:rPr>
      <w:rFonts w:asciiTheme="majorHAnsi" w:hAnsiTheme="majorHAnsi" w:eastAsiaTheme="majorEastAsia"/>
      <w:b/>
      <w:bCs/>
      <w:kern w:val="32"/>
      <w:sz w:val="32"/>
      <w:szCs w:val="32"/>
    </w:rPr>
  </w:style>
  <w:style w:type="character" w:customStyle="1" w:styleId="22">
    <w:name w:val="标题 2 Char"/>
    <w:basedOn w:val="18"/>
    <w:link w:val="3"/>
    <w:semiHidden/>
    <w:qFormat/>
    <w:uiPriority w:val="9"/>
    <w:rPr>
      <w:rFonts w:asciiTheme="majorHAnsi" w:hAnsiTheme="majorHAnsi" w:eastAsiaTheme="majorEastAsia"/>
      <w:b/>
      <w:bCs/>
      <w:i/>
      <w:iCs/>
      <w:sz w:val="28"/>
      <w:szCs w:val="28"/>
    </w:rPr>
  </w:style>
  <w:style w:type="character" w:customStyle="1" w:styleId="23">
    <w:name w:val="标题 3 Char"/>
    <w:basedOn w:val="18"/>
    <w:link w:val="4"/>
    <w:semiHidden/>
    <w:qFormat/>
    <w:uiPriority w:val="9"/>
    <w:rPr>
      <w:rFonts w:asciiTheme="majorHAnsi" w:hAnsiTheme="majorHAnsi" w:eastAsiaTheme="majorEastAsia"/>
      <w:b/>
      <w:bCs/>
      <w:sz w:val="26"/>
      <w:szCs w:val="26"/>
    </w:rPr>
  </w:style>
  <w:style w:type="character" w:customStyle="1" w:styleId="24">
    <w:name w:val="标题 4 Char"/>
    <w:basedOn w:val="18"/>
    <w:link w:val="5"/>
    <w:semiHidden/>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Theme="majorHAnsi" w:hAnsiTheme="majorHAnsi" w:eastAsiaTheme="majorEastAsia"/>
    </w:rPr>
  </w:style>
  <w:style w:type="character" w:customStyle="1" w:styleId="30">
    <w:name w:val="标题 Char"/>
    <w:basedOn w:val="18"/>
    <w:link w:val="16"/>
    <w:qFormat/>
    <w:uiPriority w:val="10"/>
    <w:rPr>
      <w:rFonts w:asciiTheme="majorHAnsi" w:hAnsiTheme="majorHAnsi" w:eastAsiaTheme="majorEastAsia"/>
      <w:b/>
      <w:bCs/>
      <w:kern w:val="28"/>
      <w:sz w:val="32"/>
      <w:szCs w:val="32"/>
    </w:rPr>
  </w:style>
  <w:style w:type="character" w:customStyle="1" w:styleId="31">
    <w:name w:val="副标题 Char"/>
    <w:basedOn w:val="18"/>
    <w:link w:val="15"/>
    <w:qFormat/>
    <w:uiPriority w:val="11"/>
    <w:rPr>
      <w:rFonts w:asciiTheme="majorHAnsi" w:hAnsiTheme="majorHAnsi" w:eastAsiaTheme="majorEastAsia"/>
      <w:sz w:val="24"/>
      <w:szCs w:val="24"/>
    </w:rPr>
  </w:style>
  <w:style w:type="paragraph" w:customStyle="1"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8"/>
    <w:link w:val="34"/>
    <w:qFormat/>
    <w:uiPriority w:val="29"/>
    <w:rPr>
      <w:i/>
      <w:sz w:val="24"/>
      <w:szCs w:val="24"/>
    </w:rPr>
  </w:style>
  <w:style w:type="paragraph" w:customStyle="1"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8"/>
    <w:link w:val="36"/>
    <w:qFormat/>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8"/>
    <w:qFormat/>
    <w:uiPriority w:val="21"/>
    <w:rPr>
      <w:b/>
      <w:i/>
      <w:sz w:val="24"/>
      <w:szCs w:val="24"/>
      <w:u w:val="single"/>
    </w:rPr>
  </w:style>
  <w:style w:type="character" w:customStyle="1" w:styleId="40">
    <w:name w:val="Subtle Reference"/>
    <w:basedOn w:val="18"/>
    <w:qFormat/>
    <w:uiPriority w:val="31"/>
    <w:rPr>
      <w:sz w:val="24"/>
      <w:szCs w:val="24"/>
      <w:u w:val="single"/>
    </w:rPr>
  </w:style>
  <w:style w:type="character" w:customStyle="1" w:styleId="41">
    <w:name w:val="Intense Reference"/>
    <w:basedOn w:val="18"/>
    <w:qFormat/>
    <w:uiPriority w:val="32"/>
    <w:rPr>
      <w:b/>
      <w:sz w:val="24"/>
      <w:u w:val="single"/>
    </w:rPr>
  </w:style>
  <w:style w:type="character" w:customStyle="1" w:styleId="42">
    <w:name w:val="Book Title"/>
    <w:basedOn w:val="18"/>
    <w:qFormat/>
    <w:uiPriority w:val="33"/>
    <w:rPr>
      <w:rFonts w:asciiTheme="majorHAnsi" w:hAnsiTheme="majorHAnsi" w:eastAsiaTheme="majorEastAsia"/>
      <w:b/>
      <w:i/>
      <w:sz w:val="24"/>
      <w:szCs w:val="24"/>
    </w:rPr>
  </w:style>
  <w:style w:type="paragraph" w:customStyle="1" w:styleId="43">
    <w:name w:val="TOC Heading"/>
    <w:basedOn w:val="2"/>
    <w:next w:val="1"/>
    <w:unhideWhenUsed/>
    <w:qFormat/>
    <w:uiPriority w:val="39"/>
    <w:pPr>
      <w:outlineLvl w:val="9"/>
    </w:pPr>
    <w:rPr>
      <w:lang w:eastAsia="en-US" w:bidi="en-US"/>
    </w:rPr>
  </w:style>
  <w:style w:type="character" w:customStyle="1" w:styleId="44">
    <w:name w:val="页眉 Char"/>
    <w:basedOn w:val="18"/>
    <w:link w:val="14"/>
    <w:qFormat/>
    <w:uiPriority w:val="99"/>
    <w:rPr>
      <w:rFonts w:ascii="Calibri" w:hAnsi="Calibri" w:eastAsia="宋体"/>
      <w:kern w:val="2"/>
      <w:sz w:val="18"/>
      <w:szCs w:val="18"/>
    </w:rPr>
  </w:style>
  <w:style w:type="character" w:customStyle="1" w:styleId="45">
    <w:name w:val="页脚 Char"/>
    <w:basedOn w:val="18"/>
    <w:link w:val="13"/>
    <w:qFormat/>
    <w:uiPriority w:val="99"/>
    <w:rPr>
      <w:rFonts w:ascii="Calibri" w:hAnsi="Calibri" w:eastAsia="宋体"/>
      <w:kern w:val="2"/>
      <w:sz w:val="18"/>
      <w:szCs w:val="18"/>
    </w:rPr>
  </w:style>
  <w:style w:type="character" w:customStyle="1" w:styleId="46">
    <w:name w:val="文档结构图 Char"/>
    <w:basedOn w:val="18"/>
    <w:link w:val="11"/>
    <w:semiHidden/>
    <w:qFormat/>
    <w:uiPriority w:val="99"/>
    <w:rPr>
      <w:rFonts w:ascii="宋体" w:hAnsi="Times New Roman" w:eastAsia="宋体"/>
      <w:kern w:val="2"/>
      <w:sz w:val="18"/>
      <w:szCs w:val="18"/>
    </w:rPr>
  </w:style>
  <w:style w:type="character" w:customStyle="1" w:styleId="47">
    <w:name w:val="批注框文本 Char"/>
    <w:basedOn w:val="18"/>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spacing w:after="0" w:line="240" w:lineRule="auto"/>
      <w:jc w:val="both"/>
    </w:pPr>
    <w:rPr>
      <w:rFonts w:ascii="Arial Unicode MS" w:hAnsi="Arial Unicode MS" w:eastAsia="Arial Unicode MS" w:cs="Arial Unicode MS"/>
      <w:color w:val="000000"/>
      <w:kern w:val="2"/>
      <w:sz w:val="21"/>
      <w:szCs w:val="21"/>
      <w:u w:color="000000"/>
      <w:lang w:val="en-US" w:eastAsia="zh-CN" w:bidi="ar-SA"/>
    </w:rPr>
  </w:style>
  <w:style w:type="character" w:customStyle="1" w:styleId="49">
    <w:name w:val="font21"/>
    <w:basedOn w:val="18"/>
    <w:qFormat/>
    <w:uiPriority w:val="0"/>
    <w:rPr>
      <w:rFonts w:hint="default" w:ascii="Times New Roman" w:hAnsi="Times New Roman" w:cs="Times New Roman"/>
      <w:color w:val="000000"/>
      <w:sz w:val="24"/>
      <w:szCs w:val="24"/>
      <w:u w:val="none"/>
    </w:rPr>
  </w:style>
  <w:style w:type="character" w:customStyle="1" w:styleId="50">
    <w:name w:val="font01"/>
    <w:basedOn w:val="18"/>
    <w:qFormat/>
    <w:uiPriority w:val="0"/>
    <w:rPr>
      <w:rFonts w:hint="eastAsia" w:ascii="宋体" w:hAnsi="宋体" w:eastAsia="宋体" w:cs="宋体"/>
      <w:color w:val="000000"/>
      <w:sz w:val="24"/>
      <w:szCs w:val="24"/>
      <w:u w:val="none"/>
    </w:rPr>
  </w:style>
  <w:style w:type="character" w:customStyle="1" w:styleId="51">
    <w:name w:val="font11"/>
    <w:basedOn w:val="18"/>
    <w:qFormat/>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C9948E-C7AC-4B1A-BBAD-BEBC72B75328}">
  <ds:schemaRefs/>
</ds:datastoreItem>
</file>

<file path=docProps/app.xml><?xml version="1.0" encoding="utf-8"?>
<Properties xmlns="http://schemas.openxmlformats.org/officeDocument/2006/extended-properties" xmlns:vt="http://schemas.openxmlformats.org/officeDocument/2006/docPropsVTypes">
  <Template>Normal.dotm</Template>
  <Pages>5</Pages>
  <Words>286</Words>
  <Characters>1633</Characters>
  <Lines>13</Lines>
  <Paragraphs>3</Paragraphs>
  <TotalTime>0</TotalTime>
  <ScaleCrop>false</ScaleCrop>
  <LinksUpToDate>false</LinksUpToDate>
  <CharactersWithSpaces>1916</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2019-09-19T03:56:53Z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